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857C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857C6" w:rsidP="000857C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F430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</w:t>
            </w:r>
            <w:r w:rsidR="00A6382C">
              <w:rPr>
                <w:b/>
              </w:rPr>
              <w:t>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638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SHALLOW FOUNDATIONS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592"/>
        <w:gridCol w:w="128"/>
        <w:gridCol w:w="6480"/>
        <w:gridCol w:w="1170"/>
        <w:gridCol w:w="900"/>
      </w:tblGrid>
      <w:tr w:rsidR="00A47C5C" w:rsidRPr="004725CA" w:rsidTr="00480598">
        <w:trPr>
          <w:trHeight w:val="132"/>
        </w:trPr>
        <w:tc>
          <w:tcPr>
            <w:tcW w:w="720" w:type="dxa"/>
            <w:shd w:val="clear" w:color="auto" w:fill="auto"/>
          </w:tcPr>
          <w:p w:rsidR="00A47C5C" w:rsidRPr="005C787D" w:rsidRDefault="00A47C5C" w:rsidP="005C787D">
            <w:pPr>
              <w:jc w:val="center"/>
              <w:rPr>
                <w:b/>
              </w:rPr>
            </w:pPr>
            <w:r w:rsidRPr="005C787D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5C787D" w:rsidRDefault="00A47C5C" w:rsidP="005C787D">
            <w:pPr>
              <w:jc w:val="center"/>
              <w:rPr>
                <w:b/>
              </w:rPr>
            </w:pPr>
            <w:r w:rsidRPr="005C787D">
              <w:rPr>
                <w:b/>
              </w:rPr>
              <w:t>Sub Div.</w:t>
            </w:r>
          </w:p>
        </w:tc>
        <w:tc>
          <w:tcPr>
            <w:tcW w:w="6480" w:type="dxa"/>
            <w:shd w:val="clear" w:color="auto" w:fill="auto"/>
          </w:tcPr>
          <w:p w:rsidR="00A47C5C" w:rsidRPr="005C787D" w:rsidRDefault="00A47C5C" w:rsidP="00C81140">
            <w:pPr>
              <w:jc w:val="center"/>
              <w:rPr>
                <w:b/>
              </w:rPr>
            </w:pPr>
            <w:r w:rsidRPr="005C787D">
              <w:rPr>
                <w:b/>
              </w:rPr>
              <w:t>Questions</w:t>
            </w:r>
          </w:p>
        </w:tc>
        <w:tc>
          <w:tcPr>
            <w:tcW w:w="1170" w:type="dxa"/>
            <w:vAlign w:val="center"/>
          </w:tcPr>
          <w:p w:rsidR="00A47C5C" w:rsidRPr="005C787D" w:rsidRDefault="00A47C5C" w:rsidP="00480598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C787D" w:rsidRDefault="00A47C5C" w:rsidP="00480598">
            <w:pPr>
              <w:jc w:val="center"/>
              <w:rPr>
                <w:b/>
              </w:rPr>
            </w:pPr>
            <w:r w:rsidRPr="005C787D">
              <w:rPr>
                <w:b/>
              </w:rPr>
              <w:t>Marks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202289">
            <w:pPr>
              <w:jc w:val="both"/>
            </w:pPr>
            <w:r>
              <w:t xml:space="preserve">Bring out the key steps to be performed by a foundation engineer in arriving at the most appropriate foundation for a given structure at a </w:t>
            </w:r>
            <w:r w:rsidRPr="002924E8">
              <w:t>given site.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12</w:t>
            </w:r>
          </w:p>
        </w:tc>
      </w:tr>
      <w:tr w:rsidR="00A47C5C" w:rsidRPr="00EF5853" w:rsidTr="00480598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202289">
            <w:pPr>
              <w:jc w:val="both"/>
            </w:pPr>
            <w:r>
              <w:t>Write a brief history of soil engineering.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8</w:t>
            </w:r>
          </w:p>
        </w:tc>
      </w:tr>
      <w:tr w:rsidR="00A47C5C" w:rsidRPr="00EF5853" w:rsidTr="00480598">
        <w:trPr>
          <w:trHeight w:val="42"/>
        </w:trPr>
        <w:tc>
          <w:tcPr>
            <w:tcW w:w="1312" w:type="dxa"/>
            <w:gridSpan w:val="2"/>
          </w:tcPr>
          <w:p w:rsidR="00A47C5C" w:rsidRDefault="00A47C5C" w:rsidP="005C787D">
            <w:pPr>
              <w:jc w:val="center"/>
            </w:pPr>
          </w:p>
        </w:tc>
        <w:tc>
          <w:tcPr>
            <w:tcW w:w="8678" w:type="dxa"/>
            <w:gridSpan w:val="4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(OR)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vMerge w:val="restart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925B8F">
            <w:pPr>
              <w:jc w:val="both"/>
            </w:pPr>
            <w:r>
              <w:t xml:space="preserve">List out the precautions to be taken while locating a footing </w:t>
            </w:r>
            <w:r w:rsidR="00925B8F">
              <w:t xml:space="preserve">      </w:t>
            </w:r>
            <w:r>
              <w:t>i</w:t>
            </w:r>
            <w:r w:rsidR="00925B8F">
              <w:t>.</w:t>
            </w:r>
            <w:r>
              <w:t xml:space="preserve"> on a slope and ii</w:t>
            </w:r>
            <w:r w:rsidR="00925B8F">
              <w:t>.</w:t>
            </w:r>
            <w:r>
              <w:t xml:space="preserve"> adjacent to an existing structures.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10</w:t>
            </w:r>
          </w:p>
        </w:tc>
      </w:tr>
      <w:tr w:rsidR="00A47C5C" w:rsidRPr="00EF5853" w:rsidTr="00480598">
        <w:trPr>
          <w:trHeight w:val="42"/>
        </w:trPr>
        <w:tc>
          <w:tcPr>
            <w:tcW w:w="720" w:type="dxa"/>
            <w:vMerge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A6382C">
            <w:pPr>
              <w:jc w:val="both"/>
            </w:pPr>
            <w:r>
              <w:t>Discuss the historical development of foundation engineering.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10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9415F">
            <w:pPr>
              <w:jc w:val="both"/>
            </w:pPr>
            <w:r>
              <w:t>Derive the ultimate bearing capacity equation for the general shear failure of soil in Terzaghi's analysis for a square footing.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10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DE764B">
            <w:pPr>
              <w:jc w:val="both"/>
            </w:pPr>
            <w:r>
              <w:t>Discuss the effect of shape, depth and inclination of load on bearing capacity of footings.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66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c.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7B585F">
            <w:pPr>
              <w:jc w:val="both"/>
            </w:pPr>
            <w:r w:rsidRPr="001A1399">
              <w:t>A SPT was conducted in a dense sand deposit at a depth of 22 m, and a value of 48 was observed for N. the density of the sand was 15 kN/m</w:t>
            </w:r>
            <w:r w:rsidRPr="001A1399">
              <w:rPr>
                <w:vertAlign w:val="superscript"/>
              </w:rPr>
              <w:t>2</w:t>
            </w:r>
            <w:r w:rsidRPr="001A1399">
              <w:t>. What is the value of N, corrected for overburden pressure?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90"/>
        </w:trPr>
        <w:tc>
          <w:tcPr>
            <w:tcW w:w="1312" w:type="dxa"/>
            <w:gridSpan w:val="2"/>
          </w:tcPr>
          <w:p w:rsidR="00A47C5C" w:rsidRDefault="00A47C5C" w:rsidP="005C787D">
            <w:pPr>
              <w:jc w:val="center"/>
            </w:pPr>
          </w:p>
        </w:tc>
        <w:tc>
          <w:tcPr>
            <w:tcW w:w="8678" w:type="dxa"/>
            <w:gridSpan w:val="4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(OR)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70A67">
            <w:r>
              <w:t>Mention the factors affecting the bearing capacity.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6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FE371C">
            <w:pPr>
              <w:jc w:val="both"/>
            </w:pPr>
            <w:r w:rsidRPr="00FE371C">
              <w:t>Determine the ultimate bear</w:t>
            </w:r>
            <w:r>
              <w:t>ing capacity of a strip footing</w:t>
            </w:r>
            <w:r w:rsidRPr="00FE371C">
              <w:t xml:space="preserve">, 1.5m wide, with its base at a depth of 1m, resting on a dry sand stratum. Take </w:t>
            </w:r>
            <w:r>
              <w:t xml:space="preserve">γ = </w:t>
            </w:r>
            <w:r w:rsidRPr="00FE371C">
              <w:t>17kN/m</w:t>
            </w:r>
            <w:r w:rsidRPr="009372E8">
              <w:rPr>
                <w:vertAlign w:val="superscript"/>
              </w:rPr>
              <w:t>3</w:t>
            </w:r>
            <w:r w:rsidRPr="00FE371C">
              <w:t xml:space="preserve">, </w:t>
            </w:r>
            <w:r>
              <w:t>φ</w:t>
            </w:r>
            <w:r w:rsidRPr="00FE371C">
              <w:t>=38</w:t>
            </w:r>
            <w:r>
              <w:t>°</w:t>
            </w:r>
            <w:r w:rsidRPr="00FE371C">
              <w:t xml:space="preserve">; Use IS method. For </w:t>
            </w:r>
            <w:r w:rsidR="00480598">
              <w:t xml:space="preserve">           </w:t>
            </w:r>
            <w:r w:rsidRPr="00FE371C">
              <w:t>Nq = 48.9 and N</w:t>
            </w:r>
            <w:r>
              <w:t>γ</w:t>
            </w:r>
            <w:r w:rsidRPr="00FE371C">
              <w:t xml:space="preserve"> = 56.2</w:t>
            </w:r>
            <w:r>
              <w:t>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7</w:t>
            </w:r>
          </w:p>
        </w:tc>
      </w:tr>
      <w:tr w:rsidR="00A47C5C" w:rsidRPr="00EF5853" w:rsidTr="00480598">
        <w:trPr>
          <w:trHeight w:val="66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c.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7B585F">
            <w:pPr>
              <w:jc w:val="both"/>
            </w:pPr>
            <w:r w:rsidRPr="00354846">
              <w:t xml:space="preserve">Analyze the Terzhagi’s equation </w:t>
            </w:r>
            <w:r>
              <w:t>for the strip footing. Also how</w:t>
            </w:r>
            <w:r w:rsidRPr="00354846">
              <w:t xml:space="preserve"> the water table affects the Terzhagi’s bearing capacity equation </w:t>
            </w:r>
            <w:r>
              <w:t>at different levels.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7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Default="00A47C5C" w:rsidP="007B585F">
            <w:pPr>
              <w:jc w:val="both"/>
            </w:pPr>
            <w:r w:rsidRPr="007B585F">
              <w:t>The following data was obtained from a plate load test carried out on a 60cm square test plate at a depth of 2</w:t>
            </w:r>
            <w:r>
              <w:t>.5</w:t>
            </w:r>
            <w:r w:rsidRPr="007B585F">
              <w:t>m below the ground surface on a sandy soil which extends upto a large depth. Determine th</w:t>
            </w:r>
            <w:r>
              <w:t>e settlement of a foundation 2.8m x 2.8</w:t>
            </w:r>
            <w:r w:rsidRPr="007B585F">
              <w:t>m carrying a load of 1</w:t>
            </w:r>
            <w:r>
              <w:t>250</w:t>
            </w:r>
            <w:r w:rsidRPr="007B585F">
              <w:t>kN and located at a depth of 2m below ground surface.</w:t>
            </w:r>
          </w:p>
          <w:tbl>
            <w:tblPr>
              <w:tblStyle w:val="TableGrid"/>
              <w:tblW w:w="6366" w:type="dxa"/>
              <w:tblLayout w:type="fixed"/>
              <w:tblLook w:val="04A0"/>
            </w:tblPr>
            <w:tblGrid>
              <w:gridCol w:w="1268"/>
              <w:gridCol w:w="636"/>
              <w:gridCol w:w="636"/>
              <w:gridCol w:w="636"/>
              <w:gridCol w:w="637"/>
              <w:gridCol w:w="637"/>
              <w:gridCol w:w="637"/>
              <w:gridCol w:w="637"/>
              <w:gridCol w:w="642"/>
            </w:tblGrid>
            <w:tr w:rsidR="00A47C5C" w:rsidTr="00A47C5C">
              <w:tc>
                <w:tcPr>
                  <w:tcW w:w="1268" w:type="dxa"/>
                </w:tcPr>
                <w:p w:rsidR="00A47C5C" w:rsidRPr="00A47C5C" w:rsidRDefault="00A47C5C" w:rsidP="00A47C5C">
                  <w:r>
                    <w:t>Load intensity, (kN/m</w:t>
                  </w:r>
                  <w:r w:rsidRPr="009372E8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636" w:type="dxa"/>
                </w:tcPr>
                <w:p w:rsidR="00A47C5C" w:rsidRDefault="00A47C5C" w:rsidP="007B585F">
                  <w:pPr>
                    <w:jc w:val="both"/>
                  </w:pPr>
                  <w:r>
                    <w:t>25</w:t>
                  </w:r>
                </w:p>
              </w:tc>
              <w:tc>
                <w:tcPr>
                  <w:tcW w:w="636" w:type="dxa"/>
                </w:tcPr>
                <w:p w:rsidR="00A47C5C" w:rsidRDefault="00A47C5C" w:rsidP="009D6690">
                  <w:pPr>
                    <w:jc w:val="both"/>
                  </w:pPr>
                  <w:r>
                    <w:t>20</w:t>
                  </w:r>
                </w:p>
              </w:tc>
              <w:tc>
                <w:tcPr>
                  <w:tcW w:w="636" w:type="dxa"/>
                </w:tcPr>
                <w:p w:rsidR="00A47C5C" w:rsidRDefault="00A47C5C" w:rsidP="007B585F">
                  <w:pPr>
                    <w:jc w:val="both"/>
                  </w:pPr>
                  <w:r>
                    <w:t>75</w:t>
                  </w:r>
                </w:p>
              </w:tc>
              <w:tc>
                <w:tcPr>
                  <w:tcW w:w="637" w:type="dxa"/>
                </w:tcPr>
                <w:p w:rsidR="00A47C5C" w:rsidRDefault="00A47C5C" w:rsidP="007B585F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637" w:type="dxa"/>
                </w:tcPr>
                <w:p w:rsidR="00A47C5C" w:rsidRDefault="00A47C5C" w:rsidP="007B585F">
                  <w:pPr>
                    <w:jc w:val="both"/>
                  </w:pPr>
                  <w:r>
                    <w:t>125</w:t>
                  </w:r>
                </w:p>
              </w:tc>
              <w:tc>
                <w:tcPr>
                  <w:tcW w:w="637" w:type="dxa"/>
                </w:tcPr>
                <w:p w:rsidR="00A47C5C" w:rsidRDefault="00A47C5C" w:rsidP="007B585F">
                  <w:pPr>
                    <w:jc w:val="both"/>
                  </w:pPr>
                  <w:r>
                    <w:t>150</w:t>
                  </w:r>
                </w:p>
              </w:tc>
              <w:tc>
                <w:tcPr>
                  <w:tcW w:w="637" w:type="dxa"/>
                </w:tcPr>
                <w:p w:rsidR="00A47C5C" w:rsidRDefault="00A47C5C" w:rsidP="007B585F">
                  <w:pPr>
                    <w:jc w:val="both"/>
                  </w:pPr>
                  <w:r>
                    <w:t>175</w:t>
                  </w:r>
                </w:p>
              </w:tc>
              <w:tc>
                <w:tcPr>
                  <w:tcW w:w="642" w:type="dxa"/>
                </w:tcPr>
                <w:p w:rsidR="00A47C5C" w:rsidRDefault="00A47C5C" w:rsidP="007B585F">
                  <w:pPr>
                    <w:jc w:val="both"/>
                  </w:pPr>
                  <w:r>
                    <w:t>200</w:t>
                  </w:r>
                </w:p>
              </w:tc>
            </w:tr>
            <w:tr w:rsidR="00A47C5C" w:rsidTr="00A47C5C">
              <w:tc>
                <w:tcPr>
                  <w:tcW w:w="1268" w:type="dxa"/>
                </w:tcPr>
                <w:p w:rsidR="00A47C5C" w:rsidRDefault="00A47C5C" w:rsidP="00A47C5C">
                  <w:r>
                    <w:t>Settlement (mm)</w:t>
                  </w:r>
                </w:p>
              </w:tc>
              <w:tc>
                <w:tcPr>
                  <w:tcW w:w="636" w:type="dxa"/>
                </w:tcPr>
                <w:p w:rsidR="00A47C5C" w:rsidRDefault="00A47C5C" w:rsidP="007B585F">
                  <w:pPr>
                    <w:jc w:val="both"/>
                  </w:pPr>
                  <w:r>
                    <w:t>1.0</w:t>
                  </w:r>
                </w:p>
              </w:tc>
              <w:tc>
                <w:tcPr>
                  <w:tcW w:w="636" w:type="dxa"/>
                </w:tcPr>
                <w:p w:rsidR="00A47C5C" w:rsidRDefault="00A47C5C" w:rsidP="007B585F">
                  <w:pPr>
                    <w:jc w:val="both"/>
                  </w:pPr>
                  <w:r>
                    <w:t>2.0</w:t>
                  </w:r>
                </w:p>
              </w:tc>
              <w:tc>
                <w:tcPr>
                  <w:tcW w:w="636" w:type="dxa"/>
                </w:tcPr>
                <w:p w:rsidR="00A47C5C" w:rsidRDefault="00A47C5C" w:rsidP="007B585F">
                  <w:pPr>
                    <w:jc w:val="both"/>
                  </w:pPr>
                  <w:r>
                    <w:t>3.5</w:t>
                  </w:r>
                </w:p>
              </w:tc>
              <w:tc>
                <w:tcPr>
                  <w:tcW w:w="637" w:type="dxa"/>
                </w:tcPr>
                <w:p w:rsidR="00A47C5C" w:rsidRDefault="00A47C5C" w:rsidP="009372E8">
                  <w:pPr>
                    <w:ind w:left="-18"/>
                    <w:jc w:val="both"/>
                  </w:pPr>
                  <w:r>
                    <w:t>5.0</w:t>
                  </w:r>
                </w:p>
              </w:tc>
              <w:tc>
                <w:tcPr>
                  <w:tcW w:w="637" w:type="dxa"/>
                </w:tcPr>
                <w:p w:rsidR="00A47C5C" w:rsidRDefault="00A47C5C" w:rsidP="009372E8">
                  <w:pPr>
                    <w:ind w:left="-18"/>
                    <w:jc w:val="both"/>
                  </w:pPr>
                  <w:r>
                    <w:t>8.2</w:t>
                  </w:r>
                </w:p>
              </w:tc>
              <w:tc>
                <w:tcPr>
                  <w:tcW w:w="637" w:type="dxa"/>
                </w:tcPr>
                <w:p w:rsidR="00A47C5C" w:rsidRDefault="00A47C5C" w:rsidP="009372E8">
                  <w:pPr>
                    <w:ind w:left="-18"/>
                    <w:jc w:val="both"/>
                  </w:pPr>
                  <w:r>
                    <w:t>12.5</w:t>
                  </w:r>
                </w:p>
              </w:tc>
              <w:tc>
                <w:tcPr>
                  <w:tcW w:w="637" w:type="dxa"/>
                </w:tcPr>
                <w:p w:rsidR="00A47C5C" w:rsidRDefault="00A47C5C" w:rsidP="009372E8">
                  <w:pPr>
                    <w:ind w:left="-18"/>
                    <w:jc w:val="both"/>
                  </w:pPr>
                  <w:r>
                    <w:t>18</w:t>
                  </w:r>
                </w:p>
              </w:tc>
              <w:tc>
                <w:tcPr>
                  <w:tcW w:w="642" w:type="dxa"/>
                </w:tcPr>
                <w:p w:rsidR="00A47C5C" w:rsidRDefault="00A47C5C" w:rsidP="009372E8">
                  <w:pPr>
                    <w:ind w:left="-18"/>
                    <w:jc w:val="both"/>
                  </w:pPr>
                  <w:r>
                    <w:t>25</w:t>
                  </w:r>
                </w:p>
              </w:tc>
            </w:tr>
          </w:tbl>
          <w:p w:rsidR="00A47C5C" w:rsidRPr="00EF5853" w:rsidRDefault="00A47C5C" w:rsidP="00670A67"/>
        </w:tc>
        <w:tc>
          <w:tcPr>
            <w:tcW w:w="1170" w:type="dxa"/>
          </w:tcPr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Default="00A47C5C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480598" w:rsidRDefault="00480598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  <w:r>
              <w:t>10</w:t>
            </w:r>
          </w:p>
          <w:p w:rsidR="00A47C5C" w:rsidRDefault="00A47C5C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</w:p>
          <w:p w:rsidR="00A47C5C" w:rsidRDefault="00A47C5C" w:rsidP="00480598">
            <w:pPr>
              <w:jc w:val="center"/>
            </w:pPr>
          </w:p>
          <w:p w:rsidR="00A47C5C" w:rsidRPr="005814FF" w:rsidRDefault="00A47C5C" w:rsidP="00480598">
            <w:pPr>
              <w:jc w:val="center"/>
            </w:pP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70A67">
            <w:r>
              <w:t>List the various methods of minimizing total and differential settlement.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c.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70A67">
            <w:r>
              <w:t xml:space="preserve">How would you estimate the settlements of a foundation on </w:t>
            </w:r>
            <w:r w:rsidR="00480598">
              <w:t>cohesion less</w:t>
            </w:r>
            <w:r>
              <w:t xml:space="preserve"> soils?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90"/>
        </w:trPr>
        <w:tc>
          <w:tcPr>
            <w:tcW w:w="1312" w:type="dxa"/>
            <w:gridSpan w:val="2"/>
          </w:tcPr>
          <w:p w:rsidR="00A47C5C" w:rsidRDefault="00A47C5C" w:rsidP="005C787D">
            <w:pPr>
              <w:jc w:val="center"/>
            </w:pPr>
          </w:p>
        </w:tc>
        <w:tc>
          <w:tcPr>
            <w:tcW w:w="8678" w:type="dxa"/>
            <w:gridSpan w:val="4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(OR)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70A67">
            <w:r>
              <w:t>Mention the loads to be considered for analysis of settlement.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5C787D">
            <w:r>
              <w:t>How would you predict the foundation settlement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5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c.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480598">
            <w:pPr>
              <w:jc w:val="both"/>
            </w:pPr>
            <w:r w:rsidRPr="00DE7093">
              <w:t>A square footing resting on a sand deposit. The pressure at the level of the foundation (q) is 200kN/m</w:t>
            </w:r>
            <w:r w:rsidRPr="00800958">
              <w:rPr>
                <w:vertAlign w:val="superscript"/>
              </w:rPr>
              <w:t>2</w:t>
            </w:r>
            <w:r w:rsidR="00480598">
              <w:t xml:space="preserve">. </w:t>
            </w:r>
            <w:r w:rsidRPr="00DE7093">
              <w:t xml:space="preserve">Determine the settlement of the foundation after 6 years of construction. Take the modulus of elasticity and influence factor </w:t>
            </w:r>
            <w:r>
              <w:t xml:space="preserve">at the depth of 1.5m, 2.5m, 3.5m, 4.5m, 5.5m </w:t>
            </w:r>
            <w:r w:rsidRPr="00DE7093">
              <w:t xml:space="preserve">are </w:t>
            </w:r>
            <w:r>
              <w:t>1</w:t>
            </w:r>
            <w:r w:rsidRPr="00DE7093">
              <w:t>.8x10</w:t>
            </w:r>
            <w:r w:rsidRPr="00DE7093">
              <w:rPr>
                <w:vertAlign w:val="superscript"/>
              </w:rPr>
              <w:t>4</w:t>
            </w:r>
            <w:r w:rsidRPr="00DE7093">
              <w:t>kN/m</w:t>
            </w:r>
            <w:r w:rsidRPr="00DE7093">
              <w:rPr>
                <w:vertAlign w:val="superscript"/>
              </w:rPr>
              <w:t>2</w:t>
            </w:r>
            <w:r>
              <w:t>, 1</w:t>
            </w:r>
            <w:r w:rsidRPr="00DE7093">
              <w:t>.9x10</w:t>
            </w:r>
            <w:r w:rsidRPr="00DE7093">
              <w:rPr>
                <w:vertAlign w:val="superscript"/>
              </w:rPr>
              <w:t>4</w:t>
            </w:r>
            <w:r w:rsidRPr="00DE7093">
              <w:t>kN/m</w:t>
            </w:r>
            <w:r w:rsidRPr="00DE7093">
              <w:rPr>
                <w:vertAlign w:val="superscript"/>
              </w:rPr>
              <w:t>2</w:t>
            </w:r>
            <w:r w:rsidRPr="00DE7093">
              <w:t xml:space="preserve">, </w:t>
            </w:r>
            <w:r>
              <w:t>2</w:t>
            </w:r>
            <w:r w:rsidRPr="00DE7093">
              <w:t>.0x10</w:t>
            </w:r>
            <w:r w:rsidRPr="00DE7093">
              <w:rPr>
                <w:vertAlign w:val="superscript"/>
              </w:rPr>
              <w:t>4</w:t>
            </w:r>
            <w:r w:rsidRPr="00DE7093">
              <w:t>kN/m</w:t>
            </w:r>
            <w:r w:rsidRPr="00DE7093">
              <w:rPr>
                <w:vertAlign w:val="superscript"/>
              </w:rPr>
              <w:t>2</w:t>
            </w:r>
            <w:r w:rsidRPr="00DE7093">
              <w:t xml:space="preserve">, </w:t>
            </w:r>
            <w:r>
              <w:t>2</w:t>
            </w:r>
            <w:r w:rsidRPr="00DE7093">
              <w:t>.1x10</w:t>
            </w:r>
            <w:r w:rsidRPr="00DE7093">
              <w:rPr>
                <w:vertAlign w:val="superscript"/>
              </w:rPr>
              <w:t>4</w:t>
            </w:r>
            <w:r w:rsidRPr="00DE7093">
              <w:t>kN/m</w:t>
            </w:r>
            <w:r w:rsidRPr="00DE7093">
              <w:rPr>
                <w:vertAlign w:val="superscript"/>
              </w:rPr>
              <w:t>2</w:t>
            </w:r>
            <w:r w:rsidRPr="00DE7093">
              <w:t xml:space="preserve">, </w:t>
            </w:r>
            <w:r>
              <w:t>2</w:t>
            </w:r>
            <w:r w:rsidRPr="00DE7093">
              <w:t>.2x1</w:t>
            </w:r>
            <w:bookmarkStart w:id="0" w:name="_GoBack"/>
            <w:bookmarkEnd w:id="0"/>
            <w:r w:rsidRPr="00DE7093">
              <w:t>04kN/m</w:t>
            </w:r>
            <w:r w:rsidRPr="00DE7093">
              <w:rPr>
                <w:vertAlign w:val="superscript"/>
              </w:rPr>
              <w:t>2</w:t>
            </w:r>
            <w:r w:rsidRPr="00DE7093">
              <w:t xml:space="preserve"> and 0.1, 0.42, 0.40, 0.267, 0.133.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10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a.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9D6690">
            <w:pPr>
              <w:jc w:val="both"/>
            </w:pPr>
            <w:r>
              <w:t>A RC column of size 300 x 500mm is subjected to a vertical load of 1100kN.Design the size of the isolated footing based on moment and shear criteria. Take safe bearing capacity of soil as 150kN/m</w:t>
            </w:r>
            <w:r w:rsidRPr="00C82E58">
              <w:rPr>
                <w:vertAlign w:val="superscript"/>
              </w:rPr>
              <w:t>2</w:t>
            </w:r>
            <w:r>
              <w:t>. Use M20 grade of concrete and Fe 500 steel.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15</w:t>
            </w:r>
          </w:p>
        </w:tc>
      </w:tr>
      <w:tr w:rsidR="00A47C5C" w:rsidRPr="00EF5853" w:rsidTr="00480598">
        <w:trPr>
          <w:trHeight w:val="90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b.</w:t>
            </w: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70A67">
            <w:r w:rsidRPr="00796D3B">
              <w:t>Explain the conventional method of proportioning of raft foundation.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2</w:t>
            </w:r>
          </w:p>
        </w:tc>
      </w:tr>
      <w:tr w:rsidR="00A47C5C" w:rsidRPr="00EF5853" w:rsidTr="00480598">
        <w:trPr>
          <w:trHeight w:val="90"/>
        </w:trPr>
        <w:tc>
          <w:tcPr>
            <w:tcW w:w="1312" w:type="dxa"/>
            <w:gridSpan w:val="2"/>
          </w:tcPr>
          <w:p w:rsidR="00A47C5C" w:rsidRDefault="00A47C5C" w:rsidP="005C787D">
            <w:pPr>
              <w:jc w:val="center"/>
            </w:pPr>
          </w:p>
        </w:tc>
        <w:tc>
          <w:tcPr>
            <w:tcW w:w="8678" w:type="dxa"/>
            <w:gridSpan w:val="4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(OR)</w:t>
            </w:r>
          </w:p>
        </w:tc>
      </w:tr>
      <w:tr w:rsidR="00A47C5C" w:rsidRPr="00EF5853" w:rsidTr="00480598">
        <w:trPr>
          <w:trHeight w:val="42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796D3B">
            <w:pPr>
              <w:jc w:val="both"/>
            </w:pPr>
            <w:r w:rsidRPr="00796D3B">
              <w:t>A trapezoidal footing is to be provided to support two square columns of 30cm and 50cm sides respectively Columns are 6m apart and the safe beari</w:t>
            </w:r>
            <w:r>
              <w:t>n</w:t>
            </w:r>
            <w:r w:rsidRPr="00796D3B">
              <w:t>g capacity of the soil is 400kN/m</w:t>
            </w:r>
            <w:r w:rsidRPr="00796D3B">
              <w:rPr>
                <w:vertAlign w:val="superscript"/>
              </w:rPr>
              <w:t>2</w:t>
            </w:r>
            <w:r w:rsidRPr="00796D3B">
              <w:t>. The bigger column carries 5000kN and the smaller 3000kN. Design a suitable size of the footing so that it does not extend beyond the faces of the columns.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20</w:t>
            </w:r>
          </w:p>
        </w:tc>
      </w:tr>
      <w:tr w:rsidR="00A47C5C" w:rsidRPr="00EF5853" w:rsidTr="00480598">
        <w:trPr>
          <w:trHeight w:val="42"/>
        </w:trPr>
        <w:tc>
          <w:tcPr>
            <w:tcW w:w="1440" w:type="dxa"/>
            <w:gridSpan w:val="3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A47C5C" w:rsidRPr="00875196" w:rsidRDefault="00A47C5C" w:rsidP="00670A67">
            <w:pPr>
              <w:rPr>
                <w:u w:val="single"/>
              </w:rPr>
            </w:pPr>
            <w:r w:rsidRPr="005C787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vAlign w:val="center"/>
          </w:tcPr>
          <w:p w:rsidR="00A47C5C" w:rsidRPr="005814FF" w:rsidRDefault="00A47C5C" w:rsidP="00480598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</w:p>
        </w:tc>
      </w:tr>
      <w:tr w:rsidR="00A47C5C" w:rsidRPr="00EF5853" w:rsidTr="00480598">
        <w:trPr>
          <w:trHeight w:val="42"/>
        </w:trPr>
        <w:tc>
          <w:tcPr>
            <w:tcW w:w="720" w:type="dxa"/>
            <w:shd w:val="clear" w:color="auto" w:fill="auto"/>
          </w:tcPr>
          <w:p w:rsidR="00A47C5C" w:rsidRPr="00EF5853" w:rsidRDefault="00A47C5C" w:rsidP="005C787D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47C5C" w:rsidRPr="00EF5853" w:rsidRDefault="00A47C5C" w:rsidP="005C787D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A47C5C" w:rsidRPr="00EF5853" w:rsidRDefault="00A47C5C" w:rsidP="0069415F">
            <w:pPr>
              <w:jc w:val="both"/>
            </w:pPr>
            <w:r w:rsidRPr="00796D3B">
              <w:t>List out the different types of floating foundation. List the problems that are encountered during executions. Also brief how they are managed</w:t>
            </w:r>
            <w:r>
              <w:t>.</w:t>
            </w:r>
          </w:p>
        </w:tc>
        <w:tc>
          <w:tcPr>
            <w:tcW w:w="1170" w:type="dxa"/>
            <w:vAlign w:val="center"/>
          </w:tcPr>
          <w:p w:rsidR="00A47C5C" w:rsidRDefault="00A47C5C" w:rsidP="00480598">
            <w:pPr>
              <w:jc w:val="center"/>
            </w:pPr>
            <w:r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7C5C" w:rsidRPr="005814FF" w:rsidRDefault="00A47C5C" w:rsidP="00480598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7C6"/>
    <w:rsid w:val="000A112D"/>
    <w:rsid w:val="000F3EFE"/>
    <w:rsid w:val="00100503"/>
    <w:rsid w:val="001D41FE"/>
    <w:rsid w:val="001D670F"/>
    <w:rsid w:val="001E2222"/>
    <w:rsid w:val="001F54D1"/>
    <w:rsid w:val="001F7E9B"/>
    <w:rsid w:val="00202289"/>
    <w:rsid w:val="002112E3"/>
    <w:rsid w:val="002578C9"/>
    <w:rsid w:val="002924E8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80146"/>
    <w:rsid w:val="003855F1"/>
    <w:rsid w:val="003B14BC"/>
    <w:rsid w:val="003B1F06"/>
    <w:rsid w:val="003C6BB4"/>
    <w:rsid w:val="0046314C"/>
    <w:rsid w:val="0046787F"/>
    <w:rsid w:val="00480598"/>
    <w:rsid w:val="004F787A"/>
    <w:rsid w:val="00501F18"/>
    <w:rsid w:val="0050571C"/>
    <w:rsid w:val="005133D7"/>
    <w:rsid w:val="005527A4"/>
    <w:rsid w:val="005814FF"/>
    <w:rsid w:val="00590C17"/>
    <w:rsid w:val="005C787D"/>
    <w:rsid w:val="005D0F4A"/>
    <w:rsid w:val="005F011C"/>
    <w:rsid w:val="006000B0"/>
    <w:rsid w:val="0062605C"/>
    <w:rsid w:val="00670A67"/>
    <w:rsid w:val="00681B25"/>
    <w:rsid w:val="0069415F"/>
    <w:rsid w:val="006C249D"/>
    <w:rsid w:val="006C7354"/>
    <w:rsid w:val="007259AE"/>
    <w:rsid w:val="00725A0A"/>
    <w:rsid w:val="007326F6"/>
    <w:rsid w:val="00777296"/>
    <w:rsid w:val="00796D3B"/>
    <w:rsid w:val="007B2A1B"/>
    <w:rsid w:val="007B585F"/>
    <w:rsid w:val="00800958"/>
    <w:rsid w:val="00802202"/>
    <w:rsid w:val="00802394"/>
    <w:rsid w:val="0081627E"/>
    <w:rsid w:val="00875196"/>
    <w:rsid w:val="00875D5A"/>
    <w:rsid w:val="008800FF"/>
    <w:rsid w:val="008A56BE"/>
    <w:rsid w:val="008B0703"/>
    <w:rsid w:val="00904D12"/>
    <w:rsid w:val="00925B8F"/>
    <w:rsid w:val="009372E8"/>
    <w:rsid w:val="0095679B"/>
    <w:rsid w:val="00991365"/>
    <w:rsid w:val="009B53DD"/>
    <w:rsid w:val="009C5A1D"/>
    <w:rsid w:val="009D6690"/>
    <w:rsid w:val="00A12074"/>
    <w:rsid w:val="00A244A0"/>
    <w:rsid w:val="00A47C5C"/>
    <w:rsid w:val="00A6382C"/>
    <w:rsid w:val="00A76B39"/>
    <w:rsid w:val="00A82EFA"/>
    <w:rsid w:val="00AA3F2E"/>
    <w:rsid w:val="00AA5E39"/>
    <w:rsid w:val="00AA6B40"/>
    <w:rsid w:val="00AD2CF4"/>
    <w:rsid w:val="00AE264C"/>
    <w:rsid w:val="00B009B1"/>
    <w:rsid w:val="00B60E7E"/>
    <w:rsid w:val="00BA539E"/>
    <w:rsid w:val="00BB5C6B"/>
    <w:rsid w:val="00BF4307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269F"/>
    <w:rsid w:val="00D64FF9"/>
    <w:rsid w:val="00D94D54"/>
    <w:rsid w:val="00DE0497"/>
    <w:rsid w:val="00DE7093"/>
    <w:rsid w:val="00DE764B"/>
    <w:rsid w:val="00E65744"/>
    <w:rsid w:val="00E70A47"/>
    <w:rsid w:val="00E824B7"/>
    <w:rsid w:val="00EA0925"/>
    <w:rsid w:val="00ED4BD9"/>
    <w:rsid w:val="00EE32C7"/>
    <w:rsid w:val="00F11EDB"/>
    <w:rsid w:val="00F162EA"/>
    <w:rsid w:val="00F266A7"/>
    <w:rsid w:val="00F55D6F"/>
    <w:rsid w:val="00FE3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1D25-FB47-4B38-9D15-6A61F995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4457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2017-10-09T14:55:00Z</dcterms:created>
  <dcterms:modified xsi:type="dcterms:W3CDTF">2017-11-30T10:43:00Z</dcterms:modified>
</cp:coreProperties>
</file>